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CEFE6" w14:textId="77777777" w:rsidR="00462143" w:rsidRPr="00031A51" w:rsidRDefault="00462143" w:rsidP="00A932B9">
      <w:pPr>
        <w:spacing w:after="0" w:line="276" w:lineRule="auto"/>
        <w:jc w:val="center"/>
        <w:rPr>
          <w:b/>
          <w:bCs/>
          <w:u w:val="single"/>
        </w:rPr>
      </w:pPr>
      <w:r w:rsidRPr="00031A51">
        <w:rPr>
          <w:b/>
          <w:bCs/>
          <w:u w:val="single"/>
        </w:rPr>
        <w:t>Guide to Data</w:t>
      </w:r>
    </w:p>
    <w:p w14:paraId="02FC08E6" w14:textId="77777777" w:rsidR="00462143" w:rsidRPr="00031A51" w:rsidRDefault="00462143" w:rsidP="00A932B9">
      <w:pPr>
        <w:spacing w:after="0" w:line="276" w:lineRule="auto"/>
        <w:rPr>
          <w:sz w:val="22"/>
          <w:szCs w:val="22"/>
        </w:rPr>
      </w:pPr>
    </w:p>
    <w:p w14:paraId="19EE17D4" w14:textId="08DC3447" w:rsidR="00462143" w:rsidRPr="00031A51" w:rsidRDefault="00462143" w:rsidP="00A932B9">
      <w:pPr>
        <w:spacing w:after="0" w:line="276" w:lineRule="auto"/>
        <w:rPr>
          <w:sz w:val="22"/>
          <w:szCs w:val="22"/>
          <w:u w:val="single"/>
        </w:rPr>
      </w:pPr>
      <w:r w:rsidRPr="00031A51">
        <w:rPr>
          <w:sz w:val="22"/>
          <w:szCs w:val="22"/>
          <w:u w:val="single"/>
        </w:rPr>
        <w:t xml:space="preserve">Spreadsheet 1: </w:t>
      </w:r>
      <w:r w:rsidR="00286727">
        <w:rPr>
          <w:sz w:val="22"/>
          <w:szCs w:val="22"/>
          <w:u w:val="single"/>
        </w:rPr>
        <w:t>PALL Artifact Data</w:t>
      </w:r>
      <w:r w:rsidRPr="00031A51">
        <w:rPr>
          <w:sz w:val="22"/>
          <w:szCs w:val="22"/>
          <w:u w:val="single"/>
        </w:rPr>
        <w:t>.</w:t>
      </w:r>
    </w:p>
    <w:p w14:paraId="5E14E34D" w14:textId="56EAF975" w:rsidR="00462143" w:rsidRDefault="00286727" w:rsidP="00A932B9">
      <w:pPr>
        <w:pStyle w:val="ListParagraph"/>
        <w:numPr>
          <w:ilvl w:val="0"/>
          <w:numId w:val="4"/>
        </w:numPr>
        <w:spacing w:after="0" w:line="276" w:lineRule="auto"/>
        <w:rPr>
          <w:sz w:val="22"/>
          <w:szCs w:val="22"/>
        </w:rPr>
      </w:pPr>
      <w:r>
        <w:rPr>
          <w:sz w:val="22"/>
          <w:szCs w:val="22"/>
        </w:rPr>
        <w:t>Artifact Information</w:t>
      </w:r>
    </w:p>
    <w:p w14:paraId="72BDA98A" w14:textId="21F1CA8A" w:rsidR="00A30616" w:rsidRDefault="00A30616" w:rsidP="00A932B9">
      <w:pPr>
        <w:pStyle w:val="ListParagraph"/>
        <w:numPr>
          <w:ilvl w:val="1"/>
          <w:numId w:val="4"/>
        </w:numPr>
        <w:spacing w:after="0" w:line="276" w:lineRule="auto"/>
        <w:rPr>
          <w:sz w:val="22"/>
          <w:szCs w:val="22"/>
        </w:rPr>
      </w:pPr>
      <w:r>
        <w:rPr>
          <w:sz w:val="22"/>
          <w:szCs w:val="22"/>
        </w:rPr>
        <w:t xml:space="preserve">Thickness at Sampling Point (cm): </w:t>
      </w:r>
      <w:r w:rsidR="007E5075">
        <w:rPr>
          <w:sz w:val="22"/>
          <w:szCs w:val="22"/>
        </w:rPr>
        <w:t xml:space="preserve">Artifacts </w:t>
      </w:r>
      <w:r>
        <w:rPr>
          <w:sz w:val="22"/>
          <w:szCs w:val="22"/>
        </w:rPr>
        <w:t xml:space="preserve">may have varying </w:t>
      </w:r>
      <w:r w:rsidR="007E5075">
        <w:rPr>
          <w:sz w:val="22"/>
          <w:szCs w:val="22"/>
        </w:rPr>
        <w:t>thickness</w:t>
      </w:r>
      <w:r>
        <w:rPr>
          <w:sz w:val="22"/>
          <w:szCs w:val="22"/>
        </w:rPr>
        <w:t xml:space="preserve"> based on where they are measured. This column reports the thickness of the</w:t>
      </w:r>
      <w:r w:rsidR="007E5075">
        <w:rPr>
          <w:sz w:val="22"/>
          <w:szCs w:val="22"/>
        </w:rPr>
        <w:t xml:space="preserve"> artifact</w:t>
      </w:r>
      <w:r>
        <w:rPr>
          <w:sz w:val="22"/>
          <w:szCs w:val="22"/>
        </w:rPr>
        <w:t xml:space="preserve"> in the location where the sample was taken, prior to sampling. </w:t>
      </w:r>
    </w:p>
    <w:p w14:paraId="75F3E8CB" w14:textId="5781850B" w:rsidR="00286727" w:rsidRDefault="00286727" w:rsidP="00A932B9">
      <w:pPr>
        <w:pStyle w:val="ListParagraph"/>
        <w:numPr>
          <w:ilvl w:val="0"/>
          <w:numId w:val="4"/>
        </w:numPr>
        <w:spacing w:after="0" w:line="276" w:lineRule="auto"/>
        <w:rPr>
          <w:sz w:val="22"/>
          <w:szCs w:val="22"/>
        </w:rPr>
      </w:pPr>
      <w:r>
        <w:rPr>
          <w:sz w:val="22"/>
          <w:szCs w:val="22"/>
        </w:rPr>
        <w:t>Lab Data</w:t>
      </w:r>
    </w:p>
    <w:p w14:paraId="5D8B20B4" w14:textId="6B4569E5" w:rsidR="00480266" w:rsidRDefault="00480266" w:rsidP="00A932B9">
      <w:pPr>
        <w:pStyle w:val="ListParagraph"/>
        <w:numPr>
          <w:ilvl w:val="1"/>
          <w:numId w:val="4"/>
        </w:numPr>
        <w:spacing w:after="0" w:line="276" w:lineRule="auto"/>
        <w:rPr>
          <w:sz w:val="22"/>
          <w:szCs w:val="22"/>
        </w:rPr>
      </w:pPr>
      <w:r>
        <w:rPr>
          <w:sz w:val="22"/>
          <w:szCs w:val="22"/>
        </w:rPr>
        <w:t>Sample Mass: The mass of sample taken and collected; measured with a laboratory balance with significance to the hundredth place.</w:t>
      </w:r>
    </w:p>
    <w:p w14:paraId="3C9A23D2" w14:textId="7D8E4924" w:rsidR="001D72A3" w:rsidRPr="00031A51" w:rsidRDefault="001D72A3" w:rsidP="00A932B9">
      <w:pPr>
        <w:pStyle w:val="ListParagraph"/>
        <w:numPr>
          <w:ilvl w:val="1"/>
          <w:numId w:val="4"/>
        </w:numPr>
        <w:spacing w:after="0" w:line="276" w:lineRule="auto"/>
        <w:rPr>
          <w:sz w:val="22"/>
          <w:szCs w:val="22"/>
        </w:rPr>
      </w:pPr>
      <w:r>
        <w:rPr>
          <w:sz w:val="22"/>
          <w:szCs w:val="22"/>
        </w:rPr>
        <w:t>Final Volume (mL): This is the final volume of the extracted residues, redissolved in methanol/water solution and filtered into HPLC-MS vials. These vials have graduations at 0.5, 1</w:t>
      </w:r>
      <w:r w:rsidR="00D40BCF">
        <w:rPr>
          <w:sz w:val="22"/>
          <w:szCs w:val="22"/>
        </w:rPr>
        <w:t>.0</w:t>
      </w:r>
      <w:r w:rsidR="00B30DBF">
        <w:rPr>
          <w:sz w:val="22"/>
          <w:szCs w:val="22"/>
        </w:rPr>
        <w:t>,</w:t>
      </w:r>
      <w:r>
        <w:rPr>
          <w:sz w:val="22"/>
          <w:szCs w:val="22"/>
        </w:rPr>
        <w:t xml:space="preserve"> and 1.5 mL</w:t>
      </w:r>
      <w:r w:rsidR="00B30DBF">
        <w:rPr>
          <w:sz w:val="22"/>
          <w:szCs w:val="22"/>
        </w:rPr>
        <w:t xml:space="preserve"> and can hold up to 2 </w:t>
      </w:r>
      <w:proofErr w:type="spellStart"/>
      <w:r w:rsidR="00B30DBF">
        <w:rPr>
          <w:sz w:val="22"/>
          <w:szCs w:val="22"/>
        </w:rPr>
        <w:t>mL.</w:t>
      </w:r>
      <w:proofErr w:type="spellEnd"/>
      <w:r>
        <w:rPr>
          <w:sz w:val="22"/>
          <w:szCs w:val="22"/>
        </w:rPr>
        <w:t xml:space="preserve"> </w:t>
      </w:r>
    </w:p>
    <w:p w14:paraId="670F3BEB" w14:textId="1C16A230" w:rsidR="00286727" w:rsidRPr="00286727" w:rsidRDefault="00462143" w:rsidP="00A932B9">
      <w:pPr>
        <w:pStyle w:val="ListParagraph"/>
        <w:numPr>
          <w:ilvl w:val="0"/>
          <w:numId w:val="4"/>
        </w:numPr>
        <w:spacing w:after="0" w:line="276" w:lineRule="auto"/>
        <w:rPr>
          <w:sz w:val="22"/>
          <w:szCs w:val="22"/>
        </w:rPr>
      </w:pPr>
      <w:r w:rsidRPr="00031A51">
        <w:rPr>
          <w:sz w:val="22"/>
          <w:szCs w:val="22"/>
        </w:rPr>
        <w:t>Raw Computer Data</w:t>
      </w:r>
    </w:p>
    <w:p w14:paraId="2100E448" w14:textId="6EF273EC" w:rsidR="00462143" w:rsidRDefault="00462143" w:rsidP="00A932B9">
      <w:pPr>
        <w:pStyle w:val="ListParagraph"/>
        <w:numPr>
          <w:ilvl w:val="1"/>
          <w:numId w:val="4"/>
        </w:numPr>
        <w:spacing w:after="0" w:line="276" w:lineRule="auto"/>
        <w:rPr>
          <w:sz w:val="22"/>
          <w:szCs w:val="22"/>
        </w:rPr>
      </w:pPr>
      <w:r>
        <w:rPr>
          <w:sz w:val="22"/>
          <w:szCs w:val="22"/>
        </w:rPr>
        <w:t>BPC</w:t>
      </w:r>
      <w:r w:rsidR="00D40BCF">
        <w:rPr>
          <w:sz w:val="22"/>
          <w:szCs w:val="22"/>
        </w:rPr>
        <w:t>:</w:t>
      </w:r>
      <w:r>
        <w:rPr>
          <w:sz w:val="22"/>
          <w:szCs w:val="22"/>
        </w:rPr>
        <w:t xml:space="preserve"> Base Peak Chromatogram.</w:t>
      </w:r>
    </w:p>
    <w:p w14:paraId="1EC3B432" w14:textId="1E30C72B" w:rsidR="00462143" w:rsidRPr="00286727" w:rsidRDefault="00462143" w:rsidP="00A932B9">
      <w:pPr>
        <w:pStyle w:val="ListParagraph"/>
        <w:numPr>
          <w:ilvl w:val="1"/>
          <w:numId w:val="4"/>
        </w:numPr>
        <w:spacing w:after="0" w:line="276" w:lineRule="auto"/>
        <w:rPr>
          <w:sz w:val="22"/>
          <w:szCs w:val="22"/>
        </w:rPr>
      </w:pPr>
      <w:r>
        <w:rPr>
          <w:sz w:val="22"/>
          <w:szCs w:val="22"/>
        </w:rPr>
        <w:t>EIC</w:t>
      </w:r>
      <w:r w:rsidR="00D40BCF">
        <w:rPr>
          <w:sz w:val="22"/>
          <w:szCs w:val="22"/>
        </w:rPr>
        <w:t>:</w:t>
      </w:r>
      <w:r>
        <w:rPr>
          <w:sz w:val="22"/>
          <w:szCs w:val="22"/>
        </w:rPr>
        <w:t xml:space="preserve"> Extracted Ion Chromatogram.</w:t>
      </w:r>
    </w:p>
    <w:p w14:paraId="54E4AC6B" w14:textId="77777777" w:rsidR="00462143" w:rsidRDefault="00462143" w:rsidP="00A932B9">
      <w:pPr>
        <w:pStyle w:val="ListParagraph"/>
        <w:numPr>
          <w:ilvl w:val="1"/>
          <w:numId w:val="4"/>
        </w:numPr>
        <w:spacing w:after="0" w:line="276" w:lineRule="auto"/>
        <w:rPr>
          <w:sz w:val="22"/>
          <w:szCs w:val="22"/>
        </w:rPr>
      </w:pPr>
      <w:r w:rsidRPr="00031A51">
        <w:rPr>
          <w:sz w:val="22"/>
          <w:szCs w:val="22"/>
        </w:rPr>
        <w:t>RT: Retention Time.</w:t>
      </w:r>
    </w:p>
    <w:p w14:paraId="09EB22CA" w14:textId="1CA26691" w:rsidR="00286727" w:rsidRDefault="00286727" w:rsidP="00A932B9">
      <w:pPr>
        <w:pStyle w:val="ListParagraph"/>
        <w:numPr>
          <w:ilvl w:val="1"/>
          <w:numId w:val="4"/>
        </w:numPr>
        <w:spacing w:after="0" w:line="276" w:lineRule="auto"/>
        <w:rPr>
          <w:sz w:val="22"/>
          <w:szCs w:val="22"/>
        </w:rPr>
      </w:pPr>
      <w:r w:rsidRPr="00031A51">
        <w:rPr>
          <w:sz w:val="22"/>
          <w:szCs w:val="22"/>
        </w:rPr>
        <w:t xml:space="preserve">All numerical data and spectra were collected using Agilent </w:t>
      </w:r>
      <w:proofErr w:type="spellStart"/>
      <w:r w:rsidRPr="00031A51">
        <w:rPr>
          <w:sz w:val="22"/>
          <w:szCs w:val="22"/>
        </w:rPr>
        <w:t>MassHunter</w:t>
      </w:r>
      <w:proofErr w:type="spellEnd"/>
      <w:r w:rsidRPr="00031A51">
        <w:rPr>
          <w:sz w:val="22"/>
          <w:szCs w:val="22"/>
        </w:rPr>
        <w:t xml:space="preserve"> software.</w:t>
      </w:r>
    </w:p>
    <w:p w14:paraId="10EED0DB" w14:textId="5E2DF23A" w:rsidR="00286727" w:rsidRPr="00031A51" w:rsidRDefault="00286727" w:rsidP="00A932B9">
      <w:pPr>
        <w:pStyle w:val="ListParagraph"/>
        <w:numPr>
          <w:ilvl w:val="1"/>
          <w:numId w:val="4"/>
        </w:numPr>
        <w:spacing w:after="0" w:line="276" w:lineRule="auto"/>
        <w:rPr>
          <w:sz w:val="22"/>
          <w:szCs w:val="22"/>
        </w:rPr>
      </w:pPr>
      <w:r>
        <w:rPr>
          <w:sz w:val="22"/>
          <w:szCs w:val="22"/>
        </w:rPr>
        <w:t xml:space="preserve">If the </w:t>
      </w:r>
      <w:proofErr w:type="spellStart"/>
      <w:r>
        <w:rPr>
          <w:sz w:val="22"/>
          <w:szCs w:val="22"/>
        </w:rPr>
        <w:t>MassHunter</w:t>
      </w:r>
      <w:proofErr w:type="spellEnd"/>
      <w:r>
        <w:rPr>
          <w:sz w:val="22"/>
          <w:szCs w:val="22"/>
        </w:rPr>
        <w:t xml:space="preserve"> software</w:t>
      </w:r>
      <w:r w:rsidRPr="00286727">
        <w:rPr>
          <w:sz w:val="22"/>
          <w:szCs w:val="22"/>
        </w:rPr>
        <w:t xml:space="preserve"> did not identify any molecules that fit within the expected RT’s for carminic acid or </w:t>
      </w:r>
      <w:proofErr w:type="spellStart"/>
      <w:r w:rsidRPr="00286727">
        <w:rPr>
          <w:sz w:val="22"/>
          <w:szCs w:val="22"/>
        </w:rPr>
        <w:t>dc</w:t>
      </w:r>
      <w:r>
        <w:rPr>
          <w:sz w:val="22"/>
          <w:szCs w:val="22"/>
        </w:rPr>
        <w:t>II</w:t>
      </w:r>
      <w:proofErr w:type="spellEnd"/>
      <w:r>
        <w:rPr>
          <w:sz w:val="22"/>
          <w:szCs w:val="22"/>
        </w:rPr>
        <w:t>,</w:t>
      </w:r>
      <w:r w:rsidRPr="00286727">
        <w:rPr>
          <w:sz w:val="22"/>
          <w:szCs w:val="22"/>
        </w:rPr>
        <w:t xml:space="preserve"> then no integra</w:t>
      </w:r>
      <w:r w:rsidR="000864F0">
        <w:rPr>
          <w:sz w:val="22"/>
          <w:szCs w:val="22"/>
        </w:rPr>
        <w:t xml:space="preserve">tion peak lists </w:t>
      </w:r>
      <w:r w:rsidRPr="00286727">
        <w:rPr>
          <w:sz w:val="22"/>
          <w:szCs w:val="22"/>
        </w:rPr>
        <w:t>are reported. If it did, then the full output of top peaks is reported</w:t>
      </w:r>
      <w:r>
        <w:rPr>
          <w:sz w:val="22"/>
          <w:szCs w:val="22"/>
        </w:rPr>
        <w:t>, for both m/z = 491 and 475 amu, and for both active and inactive surfaces of that artifact.</w:t>
      </w:r>
      <w:r w:rsidRPr="00286727">
        <w:rPr>
          <w:sz w:val="22"/>
          <w:szCs w:val="22"/>
        </w:rPr>
        <w:t xml:space="preserve"> </w:t>
      </w:r>
    </w:p>
    <w:p w14:paraId="63B75EEF" w14:textId="77777777" w:rsidR="00462143" w:rsidRPr="00031A51" w:rsidRDefault="00462143" w:rsidP="00A932B9">
      <w:pPr>
        <w:pStyle w:val="ListParagraph"/>
        <w:numPr>
          <w:ilvl w:val="0"/>
          <w:numId w:val="4"/>
        </w:numPr>
        <w:spacing w:after="0" w:line="276" w:lineRule="auto"/>
        <w:rPr>
          <w:sz w:val="22"/>
          <w:szCs w:val="22"/>
        </w:rPr>
      </w:pPr>
      <w:r w:rsidRPr="00031A51">
        <w:rPr>
          <w:sz w:val="22"/>
          <w:szCs w:val="22"/>
        </w:rPr>
        <w:t>Anthraquinones only</w:t>
      </w:r>
    </w:p>
    <w:p w14:paraId="0CC1DD68" w14:textId="65698CA7" w:rsidR="00462143" w:rsidRPr="00031A51" w:rsidRDefault="00462143" w:rsidP="00A932B9">
      <w:pPr>
        <w:pStyle w:val="ListParagraph"/>
        <w:numPr>
          <w:ilvl w:val="1"/>
          <w:numId w:val="4"/>
        </w:numPr>
        <w:spacing w:after="0" w:line="276" w:lineRule="auto"/>
        <w:rPr>
          <w:sz w:val="22"/>
          <w:szCs w:val="22"/>
        </w:rPr>
      </w:pPr>
      <w:r w:rsidRPr="00031A51">
        <w:rPr>
          <w:sz w:val="22"/>
          <w:szCs w:val="22"/>
        </w:rPr>
        <w:t xml:space="preserve">Data from </w:t>
      </w:r>
      <w:r>
        <w:rPr>
          <w:sz w:val="22"/>
          <w:szCs w:val="22"/>
        </w:rPr>
        <w:t>“Raw Computer Data”</w:t>
      </w:r>
      <w:r w:rsidRPr="00031A51">
        <w:rPr>
          <w:sz w:val="22"/>
          <w:szCs w:val="22"/>
        </w:rPr>
        <w:t xml:space="preserve"> that pertains to the molecules carminic acid</w:t>
      </w:r>
      <w:r w:rsidR="00CD66F2">
        <w:rPr>
          <w:sz w:val="22"/>
          <w:szCs w:val="22"/>
        </w:rPr>
        <w:t xml:space="preserve"> and </w:t>
      </w:r>
      <w:proofErr w:type="spellStart"/>
      <w:r w:rsidR="00CD66F2">
        <w:rPr>
          <w:sz w:val="22"/>
          <w:szCs w:val="22"/>
        </w:rPr>
        <w:t>dcII</w:t>
      </w:r>
      <w:proofErr w:type="spellEnd"/>
      <w:r w:rsidR="000864F0">
        <w:rPr>
          <w:sz w:val="22"/>
          <w:szCs w:val="22"/>
        </w:rPr>
        <w:t>.</w:t>
      </w:r>
      <w:r w:rsidRPr="00031A51">
        <w:rPr>
          <w:sz w:val="22"/>
          <w:szCs w:val="22"/>
        </w:rPr>
        <w:t xml:space="preserve"> </w:t>
      </w:r>
    </w:p>
    <w:p w14:paraId="137B687C" w14:textId="58635D4E" w:rsidR="00462143" w:rsidRPr="00031A51" w:rsidRDefault="00462143" w:rsidP="00A932B9">
      <w:pPr>
        <w:pStyle w:val="ListParagraph"/>
        <w:numPr>
          <w:ilvl w:val="1"/>
          <w:numId w:val="4"/>
        </w:numPr>
        <w:spacing w:after="0" w:line="276" w:lineRule="auto"/>
        <w:rPr>
          <w:sz w:val="22"/>
          <w:szCs w:val="22"/>
        </w:rPr>
      </w:pPr>
      <w:r w:rsidRPr="00031A51">
        <w:rPr>
          <w:sz w:val="22"/>
          <w:szCs w:val="22"/>
        </w:rPr>
        <w:t>I.A.</w:t>
      </w:r>
      <w:r w:rsidR="00D40BCF">
        <w:rPr>
          <w:sz w:val="22"/>
          <w:szCs w:val="22"/>
        </w:rPr>
        <w:t xml:space="preserve">: </w:t>
      </w:r>
      <w:r w:rsidRPr="00031A51">
        <w:rPr>
          <w:sz w:val="22"/>
          <w:szCs w:val="22"/>
        </w:rPr>
        <w:t>Integrated Area.</w:t>
      </w:r>
    </w:p>
    <w:p w14:paraId="1CA39648" w14:textId="38587C1A" w:rsidR="00462143" w:rsidRPr="003546B3" w:rsidRDefault="00462143" w:rsidP="00A932B9">
      <w:pPr>
        <w:pStyle w:val="ListParagraph"/>
        <w:numPr>
          <w:ilvl w:val="1"/>
          <w:numId w:val="4"/>
        </w:numPr>
        <w:spacing w:after="0" w:line="276" w:lineRule="auto"/>
        <w:rPr>
          <w:sz w:val="22"/>
          <w:szCs w:val="22"/>
        </w:rPr>
      </w:pPr>
      <w:r>
        <w:rPr>
          <w:sz w:val="22"/>
          <w:szCs w:val="22"/>
        </w:rPr>
        <w:t>Due to variation between software programs in S/N calculations</w:t>
      </w:r>
      <w:r w:rsidR="00D40BCF">
        <w:rPr>
          <w:sz w:val="22"/>
          <w:szCs w:val="22"/>
        </w:rPr>
        <w:t xml:space="preserve"> and a desire for reproducibility</w:t>
      </w:r>
      <w:r>
        <w:rPr>
          <w:sz w:val="22"/>
          <w:szCs w:val="22"/>
        </w:rPr>
        <w:t xml:space="preserve">, noise was measured manually. </w:t>
      </w:r>
      <w:r w:rsidRPr="00031A51">
        <w:rPr>
          <w:sz w:val="22"/>
          <w:szCs w:val="22"/>
        </w:rPr>
        <w:t xml:space="preserve">A standard method of manually approximating noise, or the standard deviation of the baseline, is to measure the peak-to-peak value of baseline noise over one minute (Wells et al. 2023). </w:t>
      </w:r>
      <w:r>
        <w:rPr>
          <w:sz w:val="22"/>
          <w:szCs w:val="22"/>
        </w:rPr>
        <w:t xml:space="preserve">To lower error associated with this method, </w:t>
      </w:r>
      <w:r w:rsidRPr="003546B3">
        <w:rPr>
          <w:sz w:val="22"/>
          <w:szCs w:val="22"/>
        </w:rPr>
        <w:t>peak-to-peak values were measured at three separate points, then averaged.</w:t>
      </w:r>
    </w:p>
    <w:p w14:paraId="4AC908F8" w14:textId="77777777" w:rsidR="00462143" w:rsidRPr="00031A51" w:rsidRDefault="00462143" w:rsidP="00A932B9">
      <w:pPr>
        <w:pStyle w:val="ListParagraph"/>
        <w:numPr>
          <w:ilvl w:val="2"/>
          <w:numId w:val="4"/>
        </w:numPr>
        <w:spacing w:after="0" w:line="276" w:lineRule="auto"/>
        <w:rPr>
          <w:sz w:val="22"/>
          <w:szCs w:val="22"/>
        </w:rPr>
      </w:pPr>
      <w:r w:rsidRPr="00031A51">
        <w:rPr>
          <w:sz w:val="22"/>
          <w:szCs w:val="22"/>
        </w:rPr>
        <w:t>N1, N2, N3: First, second, and third peak-to-peak measurement.</w:t>
      </w:r>
    </w:p>
    <w:p w14:paraId="1D69FEE4" w14:textId="77777777" w:rsidR="00462143" w:rsidRPr="00031A51" w:rsidRDefault="00462143" w:rsidP="00A932B9">
      <w:pPr>
        <w:pStyle w:val="ListParagraph"/>
        <w:numPr>
          <w:ilvl w:val="2"/>
          <w:numId w:val="4"/>
        </w:numPr>
        <w:spacing w:after="0" w:line="276" w:lineRule="auto"/>
        <w:rPr>
          <w:sz w:val="22"/>
          <w:szCs w:val="22"/>
        </w:rPr>
      </w:pPr>
      <w:r w:rsidRPr="00031A51">
        <w:rPr>
          <w:sz w:val="22"/>
          <w:szCs w:val="22"/>
        </w:rPr>
        <w:t>Time N1, Time N2, Time N3: One minute range over which N1, N2, and N3 were measured.</w:t>
      </w:r>
    </w:p>
    <w:p w14:paraId="066440C8" w14:textId="77777777" w:rsidR="00462143" w:rsidRPr="00031A51" w:rsidRDefault="00462143" w:rsidP="00A932B9">
      <w:pPr>
        <w:pStyle w:val="ListParagraph"/>
        <w:numPr>
          <w:ilvl w:val="2"/>
          <w:numId w:val="4"/>
        </w:numPr>
        <w:spacing w:after="0" w:line="276" w:lineRule="auto"/>
        <w:rPr>
          <w:sz w:val="22"/>
          <w:szCs w:val="22"/>
        </w:rPr>
      </w:pPr>
      <w:r w:rsidRPr="00031A51">
        <w:rPr>
          <w:sz w:val="22"/>
          <w:szCs w:val="22"/>
        </w:rPr>
        <w:t>Noise: Average of N1, N2, and N3.</w:t>
      </w:r>
    </w:p>
    <w:p w14:paraId="4F15E4DD" w14:textId="77777777" w:rsidR="00462143" w:rsidRPr="00031A51" w:rsidRDefault="00462143" w:rsidP="00A932B9">
      <w:pPr>
        <w:pStyle w:val="ListParagraph"/>
        <w:numPr>
          <w:ilvl w:val="1"/>
          <w:numId w:val="4"/>
        </w:numPr>
        <w:spacing w:after="0" w:line="276" w:lineRule="auto"/>
        <w:rPr>
          <w:sz w:val="22"/>
          <w:szCs w:val="22"/>
        </w:rPr>
      </w:pPr>
      <w:r w:rsidRPr="00031A51">
        <w:rPr>
          <w:sz w:val="22"/>
          <w:szCs w:val="22"/>
        </w:rPr>
        <w:t>S/N: Signal (Peak Height)/Noise.</w:t>
      </w:r>
    </w:p>
    <w:p w14:paraId="15F9D292" w14:textId="77777777" w:rsidR="00462143" w:rsidRPr="00031A51" w:rsidRDefault="00462143" w:rsidP="00A932B9">
      <w:pPr>
        <w:pStyle w:val="ListParagraph"/>
        <w:numPr>
          <w:ilvl w:val="2"/>
          <w:numId w:val="4"/>
        </w:numPr>
        <w:spacing w:after="0" w:line="276" w:lineRule="auto"/>
        <w:rPr>
          <w:sz w:val="22"/>
          <w:szCs w:val="22"/>
        </w:rPr>
      </w:pPr>
      <w:r w:rsidRPr="00031A51">
        <w:rPr>
          <w:sz w:val="22"/>
          <w:szCs w:val="22"/>
        </w:rPr>
        <w:t>If S/N &gt; 3.3, then it is above the LOD (limit of detection.)</w:t>
      </w:r>
    </w:p>
    <w:p w14:paraId="437891FF" w14:textId="3EC179A6" w:rsidR="00CD66F2" w:rsidRPr="00CD66F2" w:rsidRDefault="00462143" w:rsidP="00A932B9">
      <w:pPr>
        <w:pStyle w:val="ListParagraph"/>
        <w:numPr>
          <w:ilvl w:val="2"/>
          <w:numId w:val="4"/>
        </w:numPr>
        <w:spacing w:after="0" w:line="276" w:lineRule="auto"/>
        <w:rPr>
          <w:sz w:val="22"/>
          <w:szCs w:val="22"/>
        </w:rPr>
      </w:pPr>
      <w:r w:rsidRPr="00031A51">
        <w:rPr>
          <w:sz w:val="22"/>
          <w:szCs w:val="22"/>
        </w:rPr>
        <w:t>If S/N &gt; 10, then it is above the LOQ (limit of quantification).</w:t>
      </w:r>
    </w:p>
    <w:p w14:paraId="2B4883D3" w14:textId="7E451500" w:rsidR="00462143" w:rsidRPr="006C2F99" w:rsidRDefault="00462143" w:rsidP="00A932B9">
      <w:pPr>
        <w:spacing w:after="0" w:line="276" w:lineRule="auto"/>
        <w:rPr>
          <w:sz w:val="22"/>
          <w:szCs w:val="22"/>
          <w:u w:val="single"/>
        </w:rPr>
      </w:pPr>
      <w:r w:rsidRPr="006C2F99">
        <w:rPr>
          <w:sz w:val="22"/>
          <w:szCs w:val="22"/>
          <w:u w:val="single"/>
        </w:rPr>
        <w:t xml:space="preserve">Spreadsheet 2: </w:t>
      </w:r>
      <w:r w:rsidR="00CD66F2">
        <w:rPr>
          <w:sz w:val="22"/>
          <w:szCs w:val="22"/>
          <w:u w:val="single"/>
        </w:rPr>
        <w:t>PACT Artifact</w:t>
      </w:r>
      <w:r w:rsidRPr="006C2F99">
        <w:rPr>
          <w:sz w:val="22"/>
          <w:szCs w:val="22"/>
          <w:u w:val="single"/>
        </w:rPr>
        <w:t xml:space="preserve"> Data</w:t>
      </w:r>
      <w:r w:rsidR="00CD66F2">
        <w:rPr>
          <w:sz w:val="22"/>
          <w:szCs w:val="22"/>
          <w:u w:val="single"/>
        </w:rPr>
        <w:t>.</w:t>
      </w:r>
    </w:p>
    <w:p w14:paraId="01B3C540" w14:textId="04802B48" w:rsidR="00CE73C4" w:rsidRPr="00CE73C4" w:rsidRDefault="00462143" w:rsidP="00A932B9">
      <w:pPr>
        <w:pStyle w:val="ListParagraph"/>
        <w:numPr>
          <w:ilvl w:val="0"/>
          <w:numId w:val="5"/>
        </w:numPr>
        <w:spacing w:after="0" w:line="276" w:lineRule="auto"/>
        <w:rPr>
          <w:sz w:val="22"/>
          <w:szCs w:val="22"/>
        </w:rPr>
      </w:pPr>
      <w:r w:rsidRPr="006C2F99">
        <w:rPr>
          <w:sz w:val="22"/>
          <w:szCs w:val="22"/>
        </w:rPr>
        <w:t>Artifact Information</w:t>
      </w:r>
    </w:p>
    <w:p w14:paraId="0F41B0B0" w14:textId="4D479890" w:rsidR="00CE73C4" w:rsidRPr="00CE73C4" w:rsidRDefault="00CE73C4" w:rsidP="00A932B9">
      <w:pPr>
        <w:pStyle w:val="ListParagraph"/>
        <w:numPr>
          <w:ilvl w:val="1"/>
          <w:numId w:val="5"/>
        </w:numPr>
        <w:spacing w:after="0" w:line="276" w:lineRule="auto"/>
        <w:rPr>
          <w:sz w:val="22"/>
          <w:szCs w:val="22"/>
        </w:rPr>
      </w:pPr>
      <w:r>
        <w:rPr>
          <w:sz w:val="22"/>
          <w:szCs w:val="22"/>
        </w:rPr>
        <w:lastRenderedPageBreak/>
        <w:t>Thickness at Sampling Point (cm): Same as in Spreadsheet 1. Ranges are provided in those instances in which the samples from the two surfaces were not immediately opposite one another but were taken from locations with different initial thicknesses.</w:t>
      </w:r>
    </w:p>
    <w:p w14:paraId="2A207FE5" w14:textId="6F3C9F0D" w:rsidR="00A30616" w:rsidRPr="00164A12" w:rsidRDefault="00CD66F2" w:rsidP="00A932B9">
      <w:pPr>
        <w:pStyle w:val="ListParagraph"/>
        <w:numPr>
          <w:ilvl w:val="1"/>
          <w:numId w:val="5"/>
        </w:numPr>
        <w:spacing w:after="0" w:line="276" w:lineRule="auto"/>
        <w:rPr>
          <w:sz w:val="22"/>
          <w:szCs w:val="22"/>
        </w:rPr>
      </w:pPr>
      <w:r>
        <w:rPr>
          <w:sz w:val="22"/>
          <w:szCs w:val="22"/>
        </w:rPr>
        <w:t>Dating information for the artifacts excavated in 2017 comes from the field and analysis report produced by Overholtzer (2019), currently on file at the National Institute of Anthropology and History in Mexico City.</w:t>
      </w:r>
      <w:r w:rsidR="00A30616">
        <w:rPr>
          <w:sz w:val="22"/>
          <w:szCs w:val="22"/>
        </w:rPr>
        <w:t xml:space="preserve"> All radiocarbon dates in that report are calibrated.</w:t>
      </w:r>
      <w:r w:rsidR="008C562C">
        <w:rPr>
          <w:sz w:val="22"/>
          <w:szCs w:val="22"/>
        </w:rPr>
        <w:t xml:space="preserve"> </w:t>
      </w:r>
    </w:p>
    <w:p w14:paraId="74B4C62F" w14:textId="3E5DADAD" w:rsidR="000864F0" w:rsidRPr="00460DCC" w:rsidRDefault="00462143" w:rsidP="00A932B9">
      <w:pPr>
        <w:pStyle w:val="ListParagraph"/>
        <w:numPr>
          <w:ilvl w:val="0"/>
          <w:numId w:val="5"/>
        </w:numPr>
        <w:spacing w:after="0" w:line="276" w:lineRule="auto"/>
        <w:rPr>
          <w:sz w:val="22"/>
          <w:szCs w:val="22"/>
        </w:rPr>
      </w:pPr>
      <w:r>
        <w:rPr>
          <w:sz w:val="22"/>
          <w:szCs w:val="22"/>
        </w:rPr>
        <w:t>Lab Data</w:t>
      </w:r>
      <w:r w:rsidR="00480266">
        <w:rPr>
          <w:sz w:val="22"/>
          <w:szCs w:val="22"/>
        </w:rPr>
        <w:t>: Same as Spreadsheet 1, except for the following:</w:t>
      </w:r>
    </w:p>
    <w:p w14:paraId="1428FBE7" w14:textId="3525C26B" w:rsidR="00C8189F" w:rsidRDefault="00C8189F" w:rsidP="00A932B9">
      <w:pPr>
        <w:pStyle w:val="ListParagraph"/>
        <w:numPr>
          <w:ilvl w:val="1"/>
          <w:numId w:val="5"/>
        </w:numPr>
        <w:spacing w:after="0" w:line="276" w:lineRule="auto"/>
        <w:rPr>
          <w:sz w:val="22"/>
          <w:szCs w:val="22"/>
        </w:rPr>
      </w:pPr>
      <w:r>
        <w:rPr>
          <w:sz w:val="22"/>
          <w:szCs w:val="22"/>
        </w:rPr>
        <w:t>Sample Mass: All samples were measured with the laboratory balance (significance to hundredth place), except for the pigments, which were measured with an analytical balance (significance to ten thousandth place) due to their smaller size.</w:t>
      </w:r>
    </w:p>
    <w:p w14:paraId="7FF17C3D" w14:textId="2CF6D3D2" w:rsidR="00164A12" w:rsidRPr="00164A12" w:rsidRDefault="00164A12" w:rsidP="00A932B9">
      <w:pPr>
        <w:pStyle w:val="ListParagraph"/>
        <w:numPr>
          <w:ilvl w:val="1"/>
          <w:numId w:val="5"/>
        </w:numPr>
        <w:spacing w:after="0" w:line="276" w:lineRule="auto"/>
        <w:rPr>
          <w:sz w:val="22"/>
          <w:szCs w:val="22"/>
        </w:rPr>
      </w:pPr>
      <w:r>
        <w:rPr>
          <w:sz w:val="22"/>
          <w:szCs w:val="22"/>
        </w:rPr>
        <w:t xml:space="preserve">Final Volume (mL): </w:t>
      </w:r>
      <w:r w:rsidR="00B30DBF">
        <w:rPr>
          <w:sz w:val="22"/>
          <w:szCs w:val="22"/>
        </w:rPr>
        <w:t>Because these</w:t>
      </w:r>
      <w:r>
        <w:rPr>
          <w:sz w:val="22"/>
          <w:szCs w:val="22"/>
        </w:rPr>
        <w:t xml:space="preserve"> vials have graduations at 0.5, 1.0, and 1.5 mL</w:t>
      </w:r>
      <w:r w:rsidR="00B30DBF">
        <w:rPr>
          <w:sz w:val="22"/>
          <w:szCs w:val="22"/>
        </w:rPr>
        <w:t>, v</w:t>
      </w:r>
      <w:r>
        <w:rPr>
          <w:sz w:val="22"/>
          <w:szCs w:val="22"/>
        </w:rPr>
        <w:t xml:space="preserve">alues reported between these </w:t>
      </w:r>
      <w:r w:rsidR="00563B6B">
        <w:rPr>
          <w:sz w:val="22"/>
          <w:szCs w:val="22"/>
        </w:rPr>
        <w:t>volumes</w:t>
      </w:r>
      <w:r>
        <w:rPr>
          <w:sz w:val="22"/>
          <w:szCs w:val="22"/>
        </w:rPr>
        <w:t xml:space="preserve"> have associated uncertainty. Values reported as “0.8” are certain to be between 0.5 and 1.0 mL, but </w:t>
      </w:r>
      <w:r w:rsidR="00B30DBF">
        <w:rPr>
          <w:sz w:val="22"/>
          <w:szCs w:val="22"/>
        </w:rPr>
        <w:t xml:space="preserve">there is no certainty in saying that they are 0.8 mL, versus 0.7 </w:t>
      </w:r>
      <w:proofErr w:type="spellStart"/>
      <w:r w:rsidR="00B30DBF">
        <w:rPr>
          <w:sz w:val="22"/>
          <w:szCs w:val="22"/>
        </w:rPr>
        <w:t>mL.</w:t>
      </w:r>
      <w:proofErr w:type="spellEnd"/>
    </w:p>
    <w:p w14:paraId="0EDCB2D1" w14:textId="6EBA663F" w:rsidR="00164A12" w:rsidRPr="00164A12" w:rsidRDefault="000864F0" w:rsidP="00A932B9">
      <w:pPr>
        <w:pStyle w:val="ListParagraph"/>
        <w:numPr>
          <w:ilvl w:val="1"/>
          <w:numId w:val="5"/>
        </w:numPr>
        <w:spacing w:after="0" w:line="276" w:lineRule="auto"/>
        <w:rPr>
          <w:sz w:val="22"/>
          <w:szCs w:val="22"/>
        </w:rPr>
      </w:pPr>
      <w:r>
        <w:rPr>
          <w:sz w:val="22"/>
          <w:szCs w:val="22"/>
        </w:rPr>
        <w:t>Following the lack of any detectable carminic acid in the PALL samples and the PACT pigments, it was suspected that the injection</w:t>
      </w:r>
      <w:r w:rsidR="00413D9D">
        <w:rPr>
          <w:sz w:val="22"/>
          <w:szCs w:val="22"/>
        </w:rPr>
        <w:t xml:space="preserve"> volume needed to be increased, as was done on 12/1/2023. </w:t>
      </w:r>
      <w:r w:rsidR="00413D9D" w:rsidRPr="000864F0">
        <w:rPr>
          <w:sz w:val="22"/>
          <w:szCs w:val="22"/>
        </w:rPr>
        <w:t xml:space="preserve">Unfortunately, </w:t>
      </w:r>
      <w:r w:rsidR="00413D9D">
        <w:rPr>
          <w:sz w:val="22"/>
          <w:szCs w:val="22"/>
        </w:rPr>
        <w:t xml:space="preserve">in the run that began on 12/4/2023, there was an error that switched samples to </w:t>
      </w:r>
      <w:r w:rsidR="00413D9D" w:rsidRPr="00413D9D">
        <w:rPr>
          <w:sz w:val="22"/>
          <w:szCs w:val="22"/>
        </w:rPr>
        <w:t>a closely related MS-MS method that did not have the higher injection volume</w:t>
      </w:r>
      <w:r w:rsidR="00413D9D">
        <w:rPr>
          <w:sz w:val="22"/>
          <w:szCs w:val="22"/>
        </w:rPr>
        <w:t>, beginning on 12/5/2023</w:t>
      </w:r>
      <w:r w:rsidR="00413D9D" w:rsidRPr="00413D9D">
        <w:rPr>
          <w:sz w:val="22"/>
          <w:szCs w:val="22"/>
        </w:rPr>
        <w:t>. The new data confirmed that the larger injection volume was necessary</w:t>
      </w:r>
      <w:r w:rsidR="00413D9D">
        <w:rPr>
          <w:sz w:val="22"/>
          <w:szCs w:val="22"/>
        </w:rPr>
        <w:t>, and all subsequent samples were run with the higher injection volume.</w:t>
      </w:r>
    </w:p>
    <w:p w14:paraId="4BCBC8E3" w14:textId="7BC43B31" w:rsidR="000864F0" w:rsidRPr="000864F0" w:rsidRDefault="00462143" w:rsidP="00A932B9">
      <w:pPr>
        <w:pStyle w:val="ListParagraph"/>
        <w:numPr>
          <w:ilvl w:val="0"/>
          <w:numId w:val="5"/>
        </w:numPr>
        <w:spacing w:after="0" w:line="276" w:lineRule="auto"/>
        <w:rPr>
          <w:sz w:val="22"/>
          <w:szCs w:val="22"/>
        </w:rPr>
      </w:pPr>
      <w:r>
        <w:rPr>
          <w:sz w:val="22"/>
          <w:szCs w:val="22"/>
        </w:rPr>
        <w:t>Raw Computer Data</w:t>
      </w:r>
      <w:r w:rsidR="000864F0">
        <w:rPr>
          <w:sz w:val="22"/>
          <w:szCs w:val="22"/>
        </w:rPr>
        <w:t xml:space="preserve">: </w:t>
      </w:r>
      <w:r w:rsidR="000864F0" w:rsidRPr="000864F0">
        <w:rPr>
          <w:sz w:val="22"/>
          <w:szCs w:val="22"/>
        </w:rPr>
        <w:t>Same as in Spreadsheet 1, except for the following:</w:t>
      </w:r>
    </w:p>
    <w:p w14:paraId="6778E86E" w14:textId="77777777" w:rsidR="00CE5ADB" w:rsidRDefault="00462143" w:rsidP="00A932B9">
      <w:pPr>
        <w:pStyle w:val="ListParagraph"/>
        <w:numPr>
          <w:ilvl w:val="1"/>
          <w:numId w:val="4"/>
        </w:numPr>
        <w:spacing w:after="0" w:line="276" w:lineRule="auto"/>
        <w:rPr>
          <w:sz w:val="22"/>
          <w:szCs w:val="22"/>
        </w:rPr>
      </w:pPr>
      <w:r w:rsidRPr="00031A51">
        <w:rPr>
          <w:sz w:val="22"/>
          <w:szCs w:val="22"/>
        </w:rPr>
        <w:t>The image of EIC’s of m/z 475</w:t>
      </w:r>
      <w:r>
        <w:rPr>
          <w:sz w:val="22"/>
          <w:szCs w:val="22"/>
        </w:rPr>
        <w:t xml:space="preserve"> for sample CT3I</w:t>
      </w:r>
      <w:r w:rsidRPr="00031A51">
        <w:rPr>
          <w:sz w:val="22"/>
          <w:szCs w:val="22"/>
        </w:rPr>
        <w:t xml:space="preserve"> w</w:t>
      </w:r>
      <w:r>
        <w:rPr>
          <w:sz w:val="22"/>
          <w:szCs w:val="22"/>
        </w:rPr>
        <w:t>as</w:t>
      </w:r>
      <w:r w:rsidRPr="00031A51">
        <w:rPr>
          <w:sz w:val="22"/>
          <w:szCs w:val="22"/>
        </w:rPr>
        <w:t xml:space="preserve"> generated using </w:t>
      </w:r>
      <w:proofErr w:type="spellStart"/>
      <w:r w:rsidRPr="00031A51">
        <w:rPr>
          <w:sz w:val="22"/>
          <w:szCs w:val="22"/>
        </w:rPr>
        <w:t>Peaksel</w:t>
      </w:r>
      <w:proofErr w:type="spellEnd"/>
      <w:r>
        <w:rPr>
          <w:sz w:val="22"/>
          <w:szCs w:val="22"/>
        </w:rPr>
        <w:t xml:space="preserve"> due to </w:t>
      </w:r>
      <w:r w:rsidR="003A2D3F">
        <w:rPr>
          <w:sz w:val="22"/>
          <w:szCs w:val="22"/>
        </w:rPr>
        <w:t xml:space="preserve">a </w:t>
      </w:r>
      <w:r>
        <w:rPr>
          <w:sz w:val="22"/>
          <w:szCs w:val="22"/>
        </w:rPr>
        <w:t>computer error for that file.</w:t>
      </w:r>
      <w:r w:rsidR="00CE5ADB">
        <w:rPr>
          <w:sz w:val="22"/>
          <w:szCs w:val="22"/>
        </w:rPr>
        <w:t xml:space="preserve"> </w:t>
      </w:r>
    </w:p>
    <w:p w14:paraId="347F7C5A" w14:textId="6C026C37" w:rsidR="000864F0" w:rsidRDefault="00CE5ADB" w:rsidP="00A932B9">
      <w:pPr>
        <w:pStyle w:val="ListParagraph"/>
        <w:numPr>
          <w:ilvl w:val="1"/>
          <w:numId w:val="4"/>
        </w:numPr>
        <w:spacing w:after="0" w:line="276" w:lineRule="auto"/>
        <w:rPr>
          <w:sz w:val="22"/>
          <w:szCs w:val="22"/>
        </w:rPr>
      </w:pPr>
      <w:r>
        <w:rPr>
          <w:sz w:val="22"/>
          <w:szCs w:val="22"/>
        </w:rPr>
        <w:t xml:space="preserve">The image of the EIC of m/z 491 for sample CT24A was generated using </w:t>
      </w:r>
      <w:proofErr w:type="spellStart"/>
      <w:r>
        <w:rPr>
          <w:sz w:val="22"/>
          <w:szCs w:val="22"/>
        </w:rPr>
        <w:t>Peaksel</w:t>
      </w:r>
      <w:proofErr w:type="spellEnd"/>
      <w:r>
        <w:rPr>
          <w:sz w:val="22"/>
          <w:szCs w:val="22"/>
        </w:rPr>
        <w:t xml:space="preserve"> due to a computer error for that file that preserved only a smoothed spectrum in Agilent Mass Hunter.</w:t>
      </w:r>
    </w:p>
    <w:p w14:paraId="5CD723CC" w14:textId="517892D8" w:rsidR="000864F0" w:rsidRDefault="000864F0" w:rsidP="00A932B9">
      <w:pPr>
        <w:pStyle w:val="ListParagraph"/>
        <w:numPr>
          <w:ilvl w:val="1"/>
          <w:numId w:val="4"/>
        </w:numPr>
        <w:spacing w:after="0" w:line="276" w:lineRule="auto"/>
        <w:rPr>
          <w:sz w:val="22"/>
          <w:szCs w:val="22"/>
        </w:rPr>
      </w:pPr>
      <w:r>
        <w:rPr>
          <w:sz w:val="22"/>
          <w:szCs w:val="22"/>
        </w:rPr>
        <w:t xml:space="preserve">The image of EIC’s and the BPC for sample CT8A include the text “Scan </w:t>
      </w:r>
      <w:proofErr w:type="spellStart"/>
      <w:r>
        <w:rPr>
          <w:sz w:val="22"/>
          <w:szCs w:val="22"/>
        </w:rPr>
        <w:t>CTAI.d</w:t>
      </w:r>
      <w:proofErr w:type="spellEnd"/>
      <w:r>
        <w:rPr>
          <w:sz w:val="22"/>
          <w:szCs w:val="22"/>
        </w:rPr>
        <w:t>” rather than “Scan CT8A.d” due to a typing error when completing the instrument worklist.</w:t>
      </w:r>
    </w:p>
    <w:p w14:paraId="7EF5BDCE" w14:textId="5742C25B" w:rsidR="000864F0" w:rsidRDefault="000864F0" w:rsidP="00A932B9">
      <w:pPr>
        <w:pStyle w:val="ListParagraph"/>
        <w:numPr>
          <w:ilvl w:val="1"/>
          <w:numId w:val="4"/>
        </w:numPr>
        <w:spacing w:after="0" w:line="276" w:lineRule="auto"/>
        <w:rPr>
          <w:sz w:val="22"/>
          <w:szCs w:val="22"/>
        </w:rPr>
      </w:pPr>
      <w:r w:rsidRPr="000864F0">
        <w:rPr>
          <w:sz w:val="22"/>
          <w:szCs w:val="22"/>
        </w:rPr>
        <w:t>In the case of CT1, the full output of top peaks is reported for both injection volumes.</w:t>
      </w:r>
    </w:p>
    <w:p w14:paraId="7D0F55B2" w14:textId="77777777" w:rsidR="000864F0" w:rsidRDefault="000864F0" w:rsidP="00A932B9">
      <w:pPr>
        <w:pStyle w:val="ListParagraph"/>
        <w:numPr>
          <w:ilvl w:val="0"/>
          <w:numId w:val="5"/>
        </w:numPr>
        <w:spacing w:after="0" w:line="276" w:lineRule="auto"/>
        <w:rPr>
          <w:sz w:val="22"/>
          <w:szCs w:val="22"/>
        </w:rPr>
      </w:pPr>
      <w:r>
        <w:rPr>
          <w:sz w:val="22"/>
          <w:szCs w:val="22"/>
        </w:rPr>
        <w:t xml:space="preserve">Anthraquinones Only: </w:t>
      </w:r>
      <w:r w:rsidRPr="000864F0">
        <w:rPr>
          <w:sz w:val="22"/>
          <w:szCs w:val="22"/>
        </w:rPr>
        <w:t>Same as in Spreadsheet 1, except for the following:</w:t>
      </w:r>
    </w:p>
    <w:p w14:paraId="77B7E8C4" w14:textId="31FE1473" w:rsidR="000864F0" w:rsidRDefault="000864F0" w:rsidP="00A932B9">
      <w:pPr>
        <w:pStyle w:val="ListParagraph"/>
        <w:numPr>
          <w:ilvl w:val="1"/>
          <w:numId w:val="5"/>
        </w:numPr>
        <w:spacing w:after="0" w:line="276" w:lineRule="auto"/>
        <w:rPr>
          <w:sz w:val="22"/>
          <w:szCs w:val="22"/>
        </w:rPr>
      </w:pPr>
      <w:r w:rsidRPr="000864F0">
        <w:rPr>
          <w:sz w:val="22"/>
          <w:szCs w:val="22"/>
        </w:rPr>
        <w:t>Data from “Raw Computer Data” that pertains to the molecules carminic acid</w:t>
      </w:r>
      <w:r>
        <w:rPr>
          <w:sz w:val="22"/>
          <w:szCs w:val="22"/>
        </w:rPr>
        <w:t xml:space="preserve">, </w:t>
      </w:r>
      <w:proofErr w:type="spellStart"/>
      <w:r>
        <w:rPr>
          <w:sz w:val="22"/>
          <w:szCs w:val="22"/>
        </w:rPr>
        <w:t>dcII</w:t>
      </w:r>
      <w:proofErr w:type="spellEnd"/>
      <w:r>
        <w:rPr>
          <w:sz w:val="22"/>
          <w:szCs w:val="22"/>
        </w:rPr>
        <w:t xml:space="preserve">, </w:t>
      </w:r>
      <w:proofErr w:type="spellStart"/>
      <w:r>
        <w:rPr>
          <w:sz w:val="22"/>
          <w:szCs w:val="22"/>
        </w:rPr>
        <w:t>dcIV</w:t>
      </w:r>
      <w:proofErr w:type="spellEnd"/>
      <w:r>
        <w:rPr>
          <w:sz w:val="22"/>
          <w:szCs w:val="22"/>
        </w:rPr>
        <w:t xml:space="preserve">, and </w:t>
      </w:r>
      <w:proofErr w:type="spellStart"/>
      <w:r>
        <w:rPr>
          <w:sz w:val="22"/>
          <w:szCs w:val="22"/>
        </w:rPr>
        <w:t>dcVII</w:t>
      </w:r>
      <w:proofErr w:type="spellEnd"/>
      <w:r>
        <w:rPr>
          <w:sz w:val="22"/>
          <w:szCs w:val="22"/>
        </w:rPr>
        <w:t>.</w:t>
      </w:r>
    </w:p>
    <w:p w14:paraId="12161C0D" w14:textId="49D1BC93" w:rsidR="00CE5ADB" w:rsidRDefault="00CE5ADB" w:rsidP="00A932B9">
      <w:pPr>
        <w:pStyle w:val="ListParagraph"/>
        <w:numPr>
          <w:ilvl w:val="1"/>
          <w:numId w:val="5"/>
        </w:numPr>
        <w:spacing w:after="0" w:line="276" w:lineRule="auto"/>
        <w:rPr>
          <w:sz w:val="22"/>
          <w:szCs w:val="22"/>
        </w:rPr>
      </w:pPr>
      <w:r>
        <w:rPr>
          <w:sz w:val="22"/>
          <w:szCs w:val="22"/>
        </w:rPr>
        <w:t xml:space="preserve">In the case of CT24A, noise was calculated from the normal </w:t>
      </w:r>
      <w:proofErr w:type="spellStart"/>
      <w:r>
        <w:rPr>
          <w:sz w:val="22"/>
          <w:szCs w:val="22"/>
        </w:rPr>
        <w:t>Peaksel</w:t>
      </w:r>
      <w:proofErr w:type="spellEnd"/>
      <w:r>
        <w:rPr>
          <w:sz w:val="22"/>
          <w:szCs w:val="22"/>
        </w:rPr>
        <w:t xml:space="preserve"> spectrum, as smoothing artificially lowers background noise.</w:t>
      </w:r>
    </w:p>
    <w:p w14:paraId="2510DE96" w14:textId="65067EEF" w:rsidR="00462143" w:rsidRPr="006C5371" w:rsidRDefault="000864F0" w:rsidP="00A932B9">
      <w:pPr>
        <w:pStyle w:val="ListParagraph"/>
        <w:numPr>
          <w:ilvl w:val="0"/>
          <w:numId w:val="5"/>
        </w:numPr>
        <w:spacing w:after="0" w:line="276" w:lineRule="auto"/>
        <w:rPr>
          <w:sz w:val="22"/>
          <w:szCs w:val="22"/>
        </w:rPr>
      </w:pPr>
      <w:r>
        <w:rPr>
          <w:sz w:val="22"/>
          <w:szCs w:val="22"/>
        </w:rPr>
        <w:t>FTIR Data</w:t>
      </w:r>
    </w:p>
    <w:p w14:paraId="720B79AF" w14:textId="446E5491" w:rsidR="006C5371" w:rsidRDefault="006C5371" w:rsidP="00A932B9">
      <w:pPr>
        <w:spacing w:after="0" w:line="276" w:lineRule="auto"/>
      </w:pPr>
      <w:r w:rsidRPr="006C2F99">
        <w:rPr>
          <w:sz w:val="22"/>
          <w:szCs w:val="22"/>
          <w:u w:val="single"/>
        </w:rPr>
        <w:t xml:space="preserve">Spreadsheet </w:t>
      </w:r>
      <w:r>
        <w:rPr>
          <w:sz w:val="22"/>
          <w:szCs w:val="22"/>
          <w:u w:val="single"/>
        </w:rPr>
        <w:t>3</w:t>
      </w:r>
      <w:r w:rsidRPr="006C2F99">
        <w:rPr>
          <w:sz w:val="22"/>
          <w:szCs w:val="22"/>
          <w:u w:val="single"/>
        </w:rPr>
        <w:t xml:space="preserve">: </w:t>
      </w:r>
      <w:r>
        <w:rPr>
          <w:sz w:val="22"/>
          <w:szCs w:val="22"/>
          <w:u w:val="single"/>
        </w:rPr>
        <w:t>PAT Artifact</w:t>
      </w:r>
      <w:r w:rsidRPr="006C2F99">
        <w:rPr>
          <w:sz w:val="22"/>
          <w:szCs w:val="22"/>
          <w:u w:val="single"/>
        </w:rPr>
        <w:t xml:space="preserve"> Data</w:t>
      </w:r>
      <w:r>
        <w:rPr>
          <w:sz w:val="22"/>
          <w:szCs w:val="22"/>
          <w:u w:val="single"/>
        </w:rPr>
        <w:t>.</w:t>
      </w:r>
    </w:p>
    <w:p w14:paraId="0282423F" w14:textId="1CDEB76B" w:rsidR="00CD66F2" w:rsidRDefault="00607E60" w:rsidP="00A932B9">
      <w:pPr>
        <w:pStyle w:val="ListParagraph"/>
        <w:numPr>
          <w:ilvl w:val="0"/>
          <w:numId w:val="7"/>
        </w:numPr>
        <w:spacing w:after="0" w:line="276" w:lineRule="auto"/>
        <w:rPr>
          <w:sz w:val="22"/>
          <w:szCs w:val="22"/>
        </w:rPr>
      </w:pPr>
      <w:r>
        <w:rPr>
          <w:sz w:val="22"/>
          <w:szCs w:val="22"/>
        </w:rPr>
        <w:t>Artifact Information</w:t>
      </w:r>
    </w:p>
    <w:p w14:paraId="5B7BB98E" w14:textId="64E1740D" w:rsidR="00607E60" w:rsidRDefault="00607E60" w:rsidP="00A932B9">
      <w:pPr>
        <w:pStyle w:val="ListParagraph"/>
        <w:numPr>
          <w:ilvl w:val="1"/>
          <w:numId w:val="7"/>
        </w:numPr>
        <w:spacing w:after="0" w:line="276" w:lineRule="auto"/>
        <w:rPr>
          <w:sz w:val="22"/>
          <w:szCs w:val="22"/>
        </w:rPr>
      </w:pPr>
      <w:r>
        <w:rPr>
          <w:sz w:val="22"/>
          <w:szCs w:val="22"/>
        </w:rPr>
        <w:lastRenderedPageBreak/>
        <w:t>“65x 43y*”: This is the quadrant data written on the artifact bag tags. Both artifacts with this information</w:t>
      </w:r>
      <w:r w:rsidR="000D391F">
        <w:rPr>
          <w:sz w:val="22"/>
          <w:szCs w:val="22"/>
        </w:rPr>
        <w:t>, PT15 and PT20,</w:t>
      </w:r>
      <w:r>
        <w:rPr>
          <w:sz w:val="22"/>
          <w:szCs w:val="22"/>
        </w:rPr>
        <w:t xml:space="preserve"> are associated with Lot 35 in Structure 1, which according to the </w:t>
      </w:r>
      <w:r w:rsidR="00751312">
        <w:rPr>
          <w:sz w:val="22"/>
          <w:szCs w:val="22"/>
        </w:rPr>
        <w:t>excavation report written by Fargher (</w:t>
      </w:r>
      <w:r w:rsidR="00563B6B">
        <w:rPr>
          <w:sz w:val="22"/>
          <w:szCs w:val="22"/>
        </w:rPr>
        <w:t>2016</w:t>
      </w:r>
      <w:r w:rsidR="00751312">
        <w:rPr>
          <w:sz w:val="22"/>
          <w:szCs w:val="22"/>
        </w:rPr>
        <w:t xml:space="preserve">) </w:t>
      </w:r>
      <w:r w:rsidR="000D391F">
        <w:rPr>
          <w:sz w:val="22"/>
          <w:szCs w:val="22"/>
        </w:rPr>
        <w:t xml:space="preserve">is </w:t>
      </w:r>
      <w:r w:rsidR="00FA11FE">
        <w:rPr>
          <w:sz w:val="22"/>
          <w:szCs w:val="22"/>
        </w:rPr>
        <w:t>with</w:t>
      </w:r>
      <w:r w:rsidR="000D391F">
        <w:rPr>
          <w:sz w:val="22"/>
          <w:szCs w:val="22"/>
        </w:rPr>
        <w:t xml:space="preserve">in 65x 53y, not 65x 43y. </w:t>
      </w:r>
    </w:p>
    <w:p w14:paraId="13D19C11" w14:textId="3CB029FD" w:rsidR="00A30616" w:rsidRDefault="00A30616" w:rsidP="00A932B9">
      <w:pPr>
        <w:pStyle w:val="ListParagraph"/>
        <w:numPr>
          <w:ilvl w:val="1"/>
          <w:numId w:val="7"/>
        </w:numPr>
        <w:spacing w:after="0" w:line="276" w:lineRule="auto"/>
        <w:rPr>
          <w:sz w:val="22"/>
          <w:szCs w:val="22"/>
        </w:rPr>
      </w:pPr>
      <w:r>
        <w:rPr>
          <w:sz w:val="22"/>
          <w:szCs w:val="22"/>
        </w:rPr>
        <w:t>Thickness at Sampling Point (cm): Same as in Spreadsheet 2.</w:t>
      </w:r>
    </w:p>
    <w:p w14:paraId="597C623A" w14:textId="3129575B" w:rsidR="00607E60" w:rsidRDefault="000D391F" w:rsidP="00A932B9">
      <w:pPr>
        <w:pStyle w:val="ListParagraph"/>
        <w:numPr>
          <w:ilvl w:val="0"/>
          <w:numId w:val="7"/>
        </w:numPr>
        <w:spacing w:after="0" w:line="276" w:lineRule="auto"/>
        <w:rPr>
          <w:sz w:val="22"/>
          <w:szCs w:val="22"/>
        </w:rPr>
      </w:pPr>
      <w:r>
        <w:rPr>
          <w:sz w:val="22"/>
          <w:szCs w:val="22"/>
        </w:rPr>
        <w:t>Lab Data</w:t>
      </w:r>
    </w:p>
    <w:p w14:paraId="5C8A3B1F" w14:textId="6E5B1E0A" w:rsidR="000D391F" w:rsidRDefault="000D391F" w:rsidP="00A932B9">
      <w:pPr>
        <w:pStyle w:val="ListParagraph"/>
        <w:numPr>
          <w:ilvl w:val="1"/>
          <w:numId w:val="7"/>
        </w:numPr>
        <w:spacing w:after="0" w:line="276" w:lineRule="auto"/>
        <w:rPr>
          <w:sz w:val="22"/>
          <w:szCs w:val="22"/>
        </w:rPr>
      </w:pPr>
      <w:r>
        <w:rPr>
          <w:sz w:val="22"/>
          <w:szCs w:val="22"/>
        </w:rPr>
        <w:t>Some sample masses</w:t>
      </w:r>
      <w:r w:rsidR="00460DCC">
        <w:rPr>
          <w:sz w:val="22"/>
          <w:szCs w:val="22"/>
        </w:rPr>
        <w:t xml:space="preserve">, measured </w:t>
      </w:r>
      <w:r w:rsidR="00D40BCF">
        <w:rPr>
          <w:sz w:val="22"/>
          <w:szCs w:val="22"/>
        </w:rPr>
        <w:t xml:space="preserve">at LANCIC-IQ </w:t>
      </w:r>
      <w:r w:rsidR="00460DCC">
        <w:rPr>
          <w:sz w:val="22"/>
          <w:szCs w:val="22"/>
        </w:rPr>
        <w:t>with analytical balance</w:t>
      </w:r>
      <w:r w:rsidR="00480266">
        <w:rPr>
          <w:sz w:val="22"/>
          <w:szCs w:val="22"/>
        </w:rPr>
        <w:t>s with significance to the ten thousandth place</w:t>
      </w:r>
      <w:r w:rsidR="00460DCC">
        <w:rPr>
          <w:sz w:val="22"/>
          <w:szCs w:val="22"/>
        </w:rPr>
        <w:t>,</w:t>
      </w:r>
      <w:r>
        <w:rPr>
          <w:sz w:val="22"/>
          <w:szCs w:val="22"/>
        </w:rPr>
        <w:t xml:space="preserve"> are lower than the intended 1-2 grams. This is likely </w:t>
      </w:r>
      <w:r w:rsidR="00460DCC">
        <w:rPr>
          <w:sz w:val="22"/>
          <w:szCs w:val="22"/>
        </w:rPr>
        <w:t>because</w:t>
      </w:r>
      <w:r>
        <w:rPr>
          <w:sz w:val="22"/>
          <w:szCs w:val="22"/>
        </w:rPr>
        <w:t xml:space="preserve">, unlike for the other assemblages, samples were taken from the PAT artifacts in a makeshift laboratory space at </w:t>
      </w:r>
      <w:r w:rsidRPr="000D391F">
        <w:rPr>
          <w:sz w:val="22"/>
          <w:szCs w:val="22"/>
        </w:rPr>
        <w:t xml:space="preserve">UNAM </w:t>
      </w:r>
      <w:proofErr w:type="spellStart"/>
      <w:r w:rsidRPr="000D391F">
        <w:rPr>
          <w:sz w:val="22"/>
          <w:szCs w:val="22"/>
        </w:rPr>
        <w:t>SUAyED</w:t>
      </w:r>
      <w:proofErr w:type="spellEnd"/>
      <w:r w:rsidRPr="000D391F">
        <w:rPr>
          <w:sz w:val="22"/>
          <w:szCs w:val="22"/>
        </w:rPr>
        <w:t xml:space="preserve"> Tlaxcala</w:t>
      </w:r>
      <w:r>
        <w:rPr>
          <w:sz w:val="22"/>
          <w:szCs w:val="22"/>
        </w:rPr>
        <w:t xml:space="preserve">. </w:t>
      </w:r>
      <w:r w:rsidR="00460DCC">
        <w:rPr>
          <w:sz w:val="22"/>
          <w:szCs w:val="22"/>
        </w:rPr>
        <w:t xml:space="preserve">The scale used </w:t>
      </w:r>
      <w:r w:rsidR="00FB7AF2">
        <w:rPr>
          <w:sz w:val="22"/>
          <w:szCs w:val="22"/>
        </w:rPr>
        <w:t xml:space="preserve">in this makeshift laboratory </w:t>
      </w:r>
      <w:r w:rsidR="00460DCC">
        <w:rPr>
          <w:sz w:val="22"/>
          <w:szCs w:val="22"/>
        </w:rPr>
        <w:t xml:space="preserve">was placed on a table rather than a laboratory counter, which was less steady and therefore could have prevented the scale from providing accurate results. </w:t>
      </w:r>
    </w:p>
    <w:p w14:paraId="65493961" w14:textId="38AEF254" w:rsidR="000D391F" w:rsidRDefault="000D391F" w:rsidP="00A932B9">
      <w:pPr>
        <w:pStyle w:val="ListParagraph"/>
        <w:numPr>
          <w:ilvl w:val="0"/>
          <w:numId w:val="7"/>
        </w:numPr>
        <w:spacing w:after="0" w:line="276" w:lineRule="auto"/>
        <w:rPr>
          <w:sz w:val="22"/>
          <w:szCs w:val="22"/>
        </w:rPr>
      </w:pPr>
      <w:r>
        <w:rPr>
          <w:sz w:val="22"/>
          <w:szCs w:val="22"/>
        </w:rPr>
        <w:t>Raw Computer Data</w:t>
      </w:r>
      <w:r w:rsidR="008C562C">
        <w:rPr>
          <w:sz w:val="22"/>
          <w:szCs w:val="22"/>
        </w:rPr>
        <w:t>: Same as in Spreadsheet 1.</w:t>
      </w:r>
    </w:p>
    <w:p w14:paraId="7225B8A0" w14:textId="76977427" w:rsidR="006C5371" w:rsidRDefault="000D391F" w:rsidP="00A932B9">
      <w:pPr>
        <w:pStyle w:val="ListParagraph"/>
        <w:numPr>
          <w:ilvl w:val="0"/>
          <w:numId w:val="7"/>
        </w:numPr>
        <w:spacing w:after="0" w:line="276" w:lineRule="auto"/>
        <w:rPr>
          <w:sz w:val="22"/>
          <w:szCs w:val="22"/>
        </w:rPr>
      </w:pPr>
      <w:r>
        <w:rPr>
          <w:sz w:val="22"/>
          <w:szCs w:val="22"/>
        </w:rPr>
        <w:t>Anthraquinones Only</w:t>
      </w:r>
      <w:r w:rsidR="008C562C">
        <w:rPr>
          <w:sz w:val="22"/>
          <w:szCs w:val="22"/>
        </w:rPr>
        <w:t xml:space="preserve">: Same as in Spreadsheet 1. </w:t>
      </w:r>
    </w:p>
    <w:p w14:paraId="0A55F51C" w14:textId="77777777" w:rsidR="00460DCC" w:rsidRDefault="00460DCC" w:rsidP="00A932B9">
      <w:pPr>
        <w:spacing w:after="0" w:line="276" w:lineRule="auto"/>
        <w:rPr>
          <w:sz w:val="22"/>
          <w:szCs w:val="22"/>
        </w:rPr>
      </w:pPr>
    </w:p>
    <w:p w14:paraId="30F10C2D" w14:textId="77777777" w:rsidR="00460DCC" w:rsidRPr="00460DCC" w:rsidRDefault="00460DCC" w:rsidP="00A932B9">
      <w:pPr>
        <w:spacing w:after="0" w:line="276" w:lineRule="auto"/>
        <w:rPr>
          <w:sz w:val="22"/>
          <w:szCs w:val="22"/>
        </w:rPr>
      </w:pPr>
    </w:p>
    <w:p w14:paraId="438389F8" w14:textId="6B109A0B" w:rsidR="0078629E" w:rsidRDefault="00751312" w:rsidP="00A932B9">
      <w:pPr>
        <w:pStyle w:val="Bibliography"/>
        <w:spacing w:after="0" w:line="276" w:lineRule="auto"/>
        <w:rPr>
          <w:sz w:val="22"/>
          <w:szCs w:val="22"/>
          <w:lang w:val="es-US"/>
        </w:rPr>
      </w:pPr>
      <w:r w:rsidRPr="00751312">
        <w:rPr>
          <w:sz w:val="22"/>
          <w:szCs w:val="22"/>
          <w:lang w:val="es-US"/>
        </w:rPr>
        <w:t xml:space="preserve">Fargher, Lane F. </w:t>
      </w:r>
      <w:r w:rsidR="0099765F">
        <w:rPr>
          <w:sz w:val="22"/>
          <w:szCs w:val="22"/>
          <w:lang w:val="es-US"/>
        </w:rPr>
        <w:t>2016.</w:t>
      </w:r>
      <w:r w:rsidRPr="00751312">
        <w:rPr>
          <w:sz w:val="22"/>
          <w:szCs w:val="22"/>
          <w:lang w:val="es-US"/>
        </w:rPr>
        <w:t xml:space="preserve"> </w:t>
      </w:r>
      <w:r w:rsidRPr="00751312">
        <w:rPr>
          <w:i/>
          <w:iCs/>
          <w:sz w:val="22"/>
          <w:szCs w:val="22"/>
          <w:lang w:val="es-US"/>
        </w:rPr>
        <w:t>Proyecto Arqueológico de Tlaxcallan: Hogares, Terrazas y Gobernanza En Una Ciudad Del Posclásico Tardío Informe de Temporada 2015</w:t>
      </w:r>
      <w:r w:rsidRPr="00751312">
        <w:rPr>
          <w:sz w:val="22"/>
          <w:szCs w:val="22"/>
          <w:lang w:val="es-US"/>
        </w:rPr>
        <w:t xml:space="preserve">. </w:t>
      </w:r>
      <w:proofErr w:type="spellStart"/>
      <w:r w:rsidRPr="00751312">
        <w:rPr>
          <w:sz w:val="22"/>
          <w:szCs w:val="22"/>
          <w:lang w:val="es-US"/>
        </w:rPr>
        <w:t>Technical</w:t>
      </w:r>
      <w:proofErr w:type="spellEnd"/>
      <w:r w:rsidRPr="00751312">
        <w:rPr>
          <w:sz w:val="22"/>
          <w:szCs w:val="22"/>
          <w:lang w:val="es-US"/>
        </w:rPr>
        <w:t xml:space="preserve"> Reporto </w:t>
      </w:r>
      <w:proofErr w:type="spellStart"/>
      <w:r w:rsidRPr="00751312">
        <w:rPr>
          <w:sz w:val="22"/>
          <w:szCs w:val="22"/>
          <w:lang w:val="es-US"/>
        </w:rPr>
        <w:t>on</w:t>
      </w:r>
      <w:proofErr w:type="spellEnd"/>
      <w:r w:rsidRPr="00751312">
        <w:rPr>
          <w:sz w:val="22"/>
          <w:szCs w:val="22"/>
          <w:lang w:val="es-US"/>
        </w:rPr>
        <w:t xml:space="preserve"> file at </w:t>
      </w:r>
      <w:proofErr w:type="spellStart"/>
      <w:r w:rsidRPr="00751312">
        <w:rPr>
          <w:sz w:val="22"/>
          <w:szCs w:val="22"/>
          <w:lang w:val="es-US"/>
        </w:rPr>
        <w:t>the</w:t>
      </w:r>
      <w:proofErr w:type="spellEnd"/>
      <w:r w:rsidRPr="00751312">
        <w:rPr>
          <w:sz w:val="22"/>
          <w:szCs w:val="22"/>
          <w:lang w:val="es-US"/>
        </w:rPr>
        <w:t xml:space="preserve"> Instituto Nacional de Antropología </w:t>
      </w:r>
      <w:proofErr w:type="spellStart"/>
      <w:r w:rsidRPr="00751312">
        <w:rPr>
          <w:sz w:val="22"/>
          <w:szCs w:val="22"/>
          <w:lang w:val="es-US"/>
        </w:rPr>
        <w:t>y</w:t>
      </w:r>
      <w:proofErr w:type="spellEnd"/>
      <w:r w:rsidRPr="00751312">
        <w:rPr>
          <w:sz w:val="22"/>
          <w:szCs w:val="22"/>
          <w:lang w:val="es-US"/>
        </w:rPr>
        <w:t xml:space="preserve"> Historia, </w:t>
      </w:r>
      <w:proofErr w:type="spellStart"/>
      <w:r w:rsidRPr="00751312">
        <w:rPr>
          <w:sz w:val="22"/>
          <w:szCs w:val="22"/>
          <w:lang w:val="es-US"/>
        </w:rPr>
        <w:t>Mexico</w:t>
      </w:r>
      <w:proofErr w:type="spellEnd"/>
      <w:r w:rsidRPr="00751312">
        <w:rPr>
          <w:sz w:val="22"/>
          <w:szCs w:val="22"/>
          <w:lang w:val="es-US"/>
        </w:rPr>
        <w:t xml:space="preserve"> City.</w:t>
      </w:r>
    </w:p>
    <w:p w14:paraId="6D1B8E89" w14:textId="77777777" w:rsidR="0078629E" w:rsidRPr="0078629E" w:rsidRDefault="0078629E" w:rsidP="00A932B9">
      <w:pPr>
        <w:spacing w:after="0" w:line="276" w:lineRule="auto"/>
        <w:rPr>
          <w:lang w:val="es-US"/>
        </w:rPr>
      </w:pPr>
    </w:p>
    <w:p w14:paraId="5A342C26" w14:textId="51FCA2C3" w:rsidR="00CD66F2" w:rsidRPr="0099765F" w:rsidRDefault="00CD66F2" w:rsidP="00A932B9">
      <w:pPr>
        <w:pStyle w:val="Bibliography"/>
        <w:spacing w:after="0" w:line="276" w:lineRule="auto"/>
        <w:rPr>
          <w:sz w:val="22"/>
          <w:szCs w:val="22"/>
          <w:lang w:val="es-US"/>
        </w:rPr>
      </w:pPr>
      <w:r w:rsidRPr="00607E60">
        <w:rPr>
          <w:sz w:val="22"/>
          <w:szCs w:val="22"/>
          <w:lang w:val="es-US"/>
        </w:rPr>
        <w:t xml:space="preserve">Overholtzer, Lisa. 2019. </w:t>
      </w:r>
      <w:r w:rsidRPr="00607E60">
        <w:rPr>
          <w:i/>
          <w:iCs/>
          <w:sz w:val="22"/>
          <w:szCs w:val="22"/>
          <w:lang w:val="es-US"/>
        </w:rPr>
        <w:t>Proyecto de Arqueología Cotidiana de Tepeticpac (PACT): Informe de La Primera Temporada de Campo 2017 y Análisis de Materiales de 2018</w:t>
      </w:r>
      <w:r w:rsidRPr="00607E60">
        <w:rPr>
          <w:sz w:val="22"/>
          <w:szCs w:val="22"/>
          <w:lang w:val="es-US"/>
        </w:rPr>
        <w:t xml:space="preserve">. </w:t>
      </w:r>
      <w:r w:rsidRPr="00A30616">
        <w:rPr>
          <w:sz w:val="22"/>
          <w:szCs w:val="22"/>
        </w:rPr>
        <w:t xml:space="preserve">Technical </w:t>
      </w:r>
      <w:proofErr w:type="spellStart"/>
      <w:r w:rsidRPr="00A30616">
        <w:rPr>
          <w:sz w:val="22"/>
          <w:szCs w:val="22"/>
        </w:rPr>
        <w:t>Reporto</w:t>
      </w:r>
      <w:proofErr w:type="spellEnd"/>
      <w:r w:rsidRPr="00A30616">
        <w:rPr>
          <w:sz w:val="22"/>
          <w:szCs w:val="22"/>
        </w:rPr>
        <w:t xml:space="preserve"> on file at the Instituto Nacional de </w:t>
      </w:r>
      <w:proofErr w:type="spellStart"/>
      <w:r w:rsidRPr="00A30616">
        <w:rPr>
          <w:sz w:val="22"/>
          <w:szCs w:val="22"/>
        </w:rPr>
        <w:t>Antropología</w:t>
      </w:r>
      <w:proofErr w:type="spellEnd"/>
      <w:r w:rsidRPr="00A30616">
        <w:rPr>
          <w:sz w:val="22"/>
          <w:szCs w:val="22"/>
        </w:rPr>
        <w:t xml:space="preserve"> y Historia, Mexico City.</w:t>
      </w:r>
    </w:p>
    <w:p w14:paraId="59E69A13" w14:textId="77777777" w:rsidR="00CD66F2" w:rsidRPr="00607E60" w:rsidRDefault="00CD66F2" w:rsidP="00A932B9">
      <w:pPr>
        <w:spacing w:after="0" w:line="276" w:lineRule="auto"/>
        <w:rPr>
          <w:sz w:val="22"/>
          <w:szCs w:val="22"/>
        </w:rPr>
      </w:pPr>
    </w:p>
    <w:p w14:paraId="637A7858" w14:textId="306CB3E9" w:rsidR="00462143" w:rsidRPr="00607E60" w:rsidRDefault="00462143" w:rsidP="00A932B9">
      <w:pPr>
        <w:spacing w:after="0" w:line="276" w:lineRule="auto"/>
        <w:rPr>
          <w:sz w:val="22"/>
          <w:szCs w:val="22"/>
        </w:rPr>
      </w:pPr>
      <w:r w:rsidRPr="00607E60">
        <w:rPr>
          <w:sz w:val="22"/>
          <w:szCs w:val="22"/>
        </w:rPr>
        <w:t>Wells, G., Harry Prest, and Charles William Rust IV.</w:t>
      </w:r>
      <w:r w:rsidR="0099765F">
        <w:rPr>
          <w:sz w:val="22"/>
          <w:szCs w:val="22"/>
        </w:rPr>
        <w:t xml:space="preserve"> </w:t>
      </w:r>
      <w:r w:rsidRPr="00607E60">
        <w:rPr>
          <w:sz w:val="22"/>
          <w:szCs w:val="22"/>
        </w:rPr>
        <w:t>2023</w:t>
      </w:r>
      <w:r w:rsidR="0099765F">
        <w:rPr>
          <w:sz w:val="22"/>
          <w:szCs w:val="22"/>
        </w:rPr>
        <w:t xml:space="preserve">. </w:t>
      </w:r>
      <w:r w:rsidRPr="00607E60">
        <w:rPr>
          <w:sz w:val="22"/>
          <w:szCs w:val="22"/>
        </w:rPr>
        <w:t xml:space="preserve">Signal, Noise, and Detection Limits in Mass Spectrometry. </w:t>
      </w:r>
      <w:r w:rsidRPr="00607E60">
        <w:rPr>
          <w:i/>
          <w:iCs/>
          <w:sz w:val="22"/>
          <w:szCs w:val="22"/>
        </w:rPr>
        <w:t>Technical Overviews: Chemical Analysis</w:t>
      </w:r>
      <w:r w:rsidRPr="00607E60">
        <w:rPr>
          <w:sz w:val="22"/>
          <w:szCs w:val="22"/>
        </w:rPr>
        <w:t xml:space="preserve">. Publication Part Number: 5990-7651 EN. Agilent Technologies, Inc. </w:t>
      </w:r>
      <w:hyperlink r:id="rId5" w:history="1">
        <w:r w:rsidRPr="00607E60">
          <w:rPr>
            <w:rStyle w:val="Hyperlink"/>
            <w:sz w:val="22"/>
            <w:szCs w:val="22"/>
          </w:rPr>
          <w:t>https://www.agilent.com/cs/library/technicaloverviews/public/5990-7651EN.pdf</w:t>
        </w:r>
      </w:hyperlink>
      <w:r w:rsidRPr="00607E60">
        <w:rPr>
          <w:sz w:val="22"/>
          <w:szCs w:val="22"/>
        </w:rPr>
        <w:t xml:space="preserve"> </w:t>
      </w:r>
    </w:p>
    <w:p w14:paraId="05CA9484" w14:textId="77777777" w:rsidR="00462143" w:rsidRPr="00607E60" w:rsidRDefault="00462143" w:rsidP="00915C6C">
      <w:pPr>
        <w:rPr>
          <w:sz w:val="22"/>
          <w:szCs w:val="22"/>
        </w:rPr>
      </w:pPr>
    </w:p>
    <w:p w14:paraId="1B33C938" w14:textId="77777777" w:rsidR="00150114" w:rsidRPr="00607E60" w:rsidRDefault="00150114" w:rsidP="00150114">
      <w:pPr>
        <w:rPr>
          <w:sz w:val="22"/>
          <w:szCs w:val="22"/>
        </w:rPr>
      </w:pPr>
    </w:p>
    <w:sectPr w:rsidR="00150114" w:rsidRPr="00607E6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A55C4F"/>
    <w:multiLevelType w:val="hybridMultilevel"/>
    <w:tmpl w:val="3D8A4CA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32552437"/>
    <w:multiLevelType w:val="hybridMultilevel"/>
    <w:tmpl w:val="66D6B3A2"/>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40C3B82"/>
    <w:multiLevelType w:val="hybridMultilevel"/>
    <w:tmpl w:val="1854C8E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167F36"/>
    <w:multiLevelType w:val="hybridMultilevel"/>
    <w:tmpl w:val="C5E42DD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16B7679"/>
    <w:multiLevelType w:val="hybridMultilevel"/>
    <w:tmpl w:val="C010B46E"/>
    <w:lvl w:ilvl="0" w:tplc="5A3AE70E">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AB00E34"/>
    <w:multiLevelType w:val="hybridMultilevel"/>
    <w:tmpl w:val="8D98946A"/>
    <w:lvl w:ilvl="0" w:tplc="CC0457D8">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F890ABB"/>
    <w:multiLevelType w:val="hybridMultilevel"/>
    <w:tmpl w:val="04906AAA"/>
    <w:lvl w:ilvl="0" w:tplc="54FC9740">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74039245">
    <w:abstractNumId w:val="6"/>
  </w:num>
  <w:num w:numId="2" w16cid:durableId="440299222">
    <w:abstractNumId w:val="5"/>
  </w:num>
  <w:num w:numId="3" w16cid:durableId="1079059842">
    <w:abstractNumId w:val="4"/>
  </w:num>
  <w:num w:numId="4" w16cid:durableId="1743794843">
    <w:abstractNumId w:val="1"/>
  </w:num>
  <w:num w:numId="5" w16cid:durableId="2035228048">
    <w:abstractNumId w:val="3"/>
  </w:num>
  <w:num w:numId="6" w16cid:durableId="698629991">
    <w:abstractNumId w:val="0"/>
  </w:num>
  <w:num w:numId="7" w16cid:durableId="11187967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819"/>
    <w:rsid w:val="000527A1"/>
    <w:rsid w:val="000864F0"/>
    <w:rsid w:val="000B59AD"/>
    <w:rsid w:val="000D391F"/>
    <w:rsid w:val="000E7341"/>
    <w:rsid w:val="00133583"/>
    <w:rsid w:val="00146DF2"/>
    <w:rsid w:val="00150114"/>
    <w:rsid w:val="00164A12"/>
    <w:rsid w:val="00181A42"/>
    <w:rsid w:val="001C43E9"/>
    <w:rsid w:val="001D24A2"/>
    <w:rsid w:val="001D72A3"/>
    <w:rsid w:val="001F3819"/>
    <w:rsid w:val="00220E1A"/>
    <w:rsid w:val="00225357"/>
    <w:rsid w:val="0022624F"/>
    <w:rsid w:val="00250CF0"/>
    <w:rsid w:val="0025594B"/>
    <w:rsid w:val="00286727"/>
    <w:rsid w:val="002B583A"/>
    <w:rsid w:val="002D76E4"/>
    <w:rsid w:val="002F08F3"/>
    <w:rsid w:val="002F7864"/>
    <w:rsid w:val="00325C4B"/>
    <w:rsid w:val="00346FBB"/>
    <w:rsid w:val="003477EE"/>
    <w:rsid w:val="00364673"/>
    <w:rsid w:val="00365AE3"/>
    <w:rsid w:val="0039312E"/>
    <w:rsid w:val="003A2D3F"/>
    <w:rsid w:val="003A3AD5"/>
    <w:rsid w:val="003A3C3B"/>
    <w:rsid w:val="003F598B"/>
    <w:rsid w:val="003F72F0"/>
    <w:rsid w:val="00413D9D"/>
    <w:rsid w:val="00460DCC"/>
    <w:rsid w:val="00462143"/>
    <w:rsid w:val="00480266"/>
    <w:rsid w:val="004E092E"/>
    <w:rsid w:val="0052162F"/>
    <w:rsid w:val="00521ED7"/>
    <w:rsid w:val="00524254"/>
    <w:rsid w:val="0052628D"/>
    <w:rsid w:val="00544526"/>
    <w:rsid w:val="00554802"/>
    <w:rsid w:val="00563B6B"/>
    <w:rsid w:val="00607E60"/>
    <w:rsid w:val="0069468C"/>
    <w:rsid w:val="006B2CBA"/>
    <w:rsid w:val="006B6B14"/>
    <w:rsid w:val="006C5371"/>
    <w:rsid w:val="006E16DC"/>
    <w:rsid w:val="007428B7"/>
    <w:rsid w:val="00751312"/>
    <w:rsid w:val="0075721C"/>
    <w:rsid w:val="0078629E"/>
    <w:rsid w:val="007B65C6"/>
    <w:rsid w:val="007D51AC"/>
    <w:rsid w:val="007E5075"/>
    <w:rsid w:val="007F4B5A"/>
    <w:rsid w:val="008338FD"/>
    <w:rsid w:val="00877154"/>
    <w:rsid w:val="00893141"/>
    <w:rsid w:val="008A1194"/>
    <w:rsid w:val="008A7DCA"/>
    <w:rsid w:val="008A7EB4"/>
    <w:rsid w:val="008C562C"/>
    <w:rsid w:val="00915C6C"/>
    <w:rsid w:val="00917B73"/>
    <w:rsid w:val="009928B5"/>
    <w:rsid w:val="0099765F"/>
    <w:rsid w:val="009B3C02"/>
    <w:rsid w:val="009E0570"/>
    <w:rsid w:val="00A30616"/>
    <w:rsid w:val="00A932B9"/>
    <w:rsid w:val="00AF3C41"/>
    <w:rsid w:val="00B00E20"/>
    <w:rsid w:val="00B30DBF"/>
    <w:rsid w:val="00BF0DC5"/>
    <w:rsid w:val="00BF2F70"/>
    <w:rsid w:val="00C00D4A"/>
    <w:rsid w:val="00C8189F"/>
    <w:rsid w:val="00C955C9"/>
    <w:rsid w:val="00CC2123"/>
    <w:rsid w:val="00CD0EB1"/>
    <w:rsid w:val="00CD66F2"/>
    <w:rsid w:val="00CE5ADB"/>
    <w:rsid w:val="00CE73C4"/>
    <w:rsid w:val="00D05F73"/>
    <w:rsid w:val="00D40BCF"/>
    <w:rsid w:val="00D449E2"/>
    <w:rsid w:val="00D57292"/>
    <w:rsid w:val="00D85D33"/>
    <w:rsid w:val="00DD37C3"/>
    <w:rsid w:val="00DE27BA"/>
    <w:rsid w:val="00DE7DFC"/>
    <w:rsid w:val="00E05341"/>
    <w:rsid w:val="00E75DD3"/>
    <w:rsid w:val="00F01131"/>
    <w:rsid w:val="00F1268D"/>
    <w:rsid w:val="00F17F2A"/>
    <w:rsid w:val="00F662A8"/>
    <w:rsid w:val="00FA11FE"/>
    <w:rsid w:val="00FB7AF2"/>
    <w:rsid w:val="00FF44D9"/>
    <w:rsid w:val="00FF6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B374B"/>
  <w15:chartTrackingRefBased/>
  <w15:docId w15:val="{0527651E-A957-4C7E-B3F7-1888D2CC8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38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F38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381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381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381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381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381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381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381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81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F381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381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381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381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381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381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381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3819"/>
    <w:rPr>
      <w:rFonts w:eastAsiaTheme="majorEastAsia" w:cstheme="majorBidi"/>
      <w:color w:val="272727" w:themeColor="text1" w:themeTint="D8"/>
    </w:rPr>
  </w:style>
  <w:style w:type="paragraph" w:styleId="Title">
    <w:name w:val="Title"/>
    <w:basedOn w:val="Normal"/>
    <w:next w:val="Normal"/>
    <w:link w:val="TitleChar"/>
    <w:uiPriority w:val="10"/>
    <w:qFormat/>
    <w:rsid w:val="001F38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381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381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381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3819"/>
    <w:pPr>
      <w:spacing w:before="160"/>
      <w:jc w:val="center"/>
    </w:pPr>
    <w:rPr>
      <w:i/>
      <w:iCs/>
      <w:color w:val="404040" w:themeColor="text1" w:themeTint="BF"/>
    </w:rPr>
  </w:style>
  <w:style w:type="character" w:customStyle="1" w:styleId="QuoteChar">
    <w:name w:val="Quote Char"/>
    <w:basedOn w:val="DefaultParagraphFont"/>
    <w:link w:val="Quote"/>
    <w:uiPriority w:val="29"/>
    <w:rsid w:val="001F3819"/>
    <w:rPr>
      <w:i/>
      <w:iCs/>
      <w:color w:val="404040" w:themeColor="text1" w:themeTint="BF"/>
    </w:rPr>
  </w:style>
  <w:style w:type="paragraph" w:styleId="ListParagraph">
    <w:name w:val="List Paragraph"/>
    <w:basedOn w:val="Normal"/>
    <w:uiPriority w:val="34"/>
    <w:qFormat/>
    <w:rsid w:val="001F3819"/>
    <w:pPr>
      <w:ind w:left="720"/>
      <w:contextualSpacing/>
    </w:pPr>
  </w:style>
  <w:style w:type="character" w:styleId="IntenseEmphasis">
    <w:name w:val="Intense Emphasis"/>
    <w:basedOn w:val="DefaultParagraphFont"/>
    <w:uiPriority w:val="21"/>
    <w:qFormat/>
    <w:rsid w:val="001F3819"/>
    <w:rPr>
      <w:i/>
      <w:iCs/>
      <w:color w:val="0F4761" w:themeColor="accent1" w:themeShade="BF"/>
    </w:rPr>
  </w:style>
  <w:style w:type="paragraph" w:styleId="IntenseQuote">
    <w:name w:val="Intense Quote"/>
    <w:basedOn w:val="Normal"/>
    <w:next w:val="Normal"/>
    <w:link w:val="IntenseQuoteChar"/>
    <w:uiPriority w:val="30"/>
    <w:qFormat/>
    <w:rsid w:val="001F38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3819"/>
    <w:rPr>
      <w:i/>
      <w:iCs/>
      <w:color w:val="0F4761" w:themeColor="accent1" w:themeShade="BF"/>
    </w:rPr>
  </w:style>
  <w:style w:type="character" w:styleId="IntenseReference">
    <w:name w:val="Intense Reference"/>
    <w:basedOn w:val="DefaultParagraphFont"/>
    <w:uiPriority w:val="32"/>
    <w:qFormat/>
    <w:rsid w:val="001F3819"/>
    <w:rPr>
      <w:b/>
      <w:bCs/>
      <w:smallCaps/>
      <w:color w:val="0F4761" w:themeColor="accent1" w:themeShade="BF"/>
      <w:spacing w:val="5"/>
    </w:rPr>
  </w:style>
  <w:style w:type="character" w:styleId="Hyperlink">
    <w:name w:val="Hyperlink"/>
    <w:basedOn w:val="DefaultParagraphFont"/>
    <w:uiPriority w:val="99"/>
    <w:unhideWhenUsed/>
    <w:rsid w:val="00462143"/>
    <w:rPr>
      <w:color w:val="467886" w:themeColor="hyperlink"/>
      <w:u w:val="single"/>
    </w:rPr>
  </w:style>
  <w:style w:type="paragraph" w:styleId="Bibliography">
    <w:name w:val="Bibliography"/>
    <w:basedOn w:val="Normal"/>
    <w:next w:val="Normal"/>
    <w:uiPriority w:val="37"/>
    <w:unhideWhenUsed/>
    <w:rsid w:val="00CD66F2"/>
  </w:style>
  <w:style w:type="character" w:styleId="CommentReference">
    <w:name w:val="annotation reference"/>
    <w:basedOn w:val="DefaultParagraphFont"/>
    <w:uiPriority w:val="99"/>
    <w:semiHidden/>
    <w:unhideWhenUsed/>
    <w:rsid w:val="00751312"/>
    <w:rPr>
      <w:sz w:val="16"/>
      <w:szCs w:val="16"/>
    </w:rPr>
  </w:style>
  <w:style w:type="paragraph" w:styleId="CommentText">
    <w:name w:val="annotation text"/>
    <w:basedOn w:val="Normal"/>
    <w:link w:val="CommentTextChar"/>
    <w:uiPriority w:val="99"/>
    <w:unhideWhenUsed/>
    <w:rsid w:val="00751312"/>
    <w:pPr>
      <w:spacing w:line="240" w:lineRule="auto"/>
    </w:pPr>
    <w:rPr>
      <w:sz w:val="20"/>
      <w:szCs w:val="20"/>
    </w:rPr>
  </w:style>
  <w:style w:type="character" w:customStyle="1" w:styleId="CommentTextChar">
    <w:name w:val="Comment Text Char"/>
    <w:basedOn w:val="DefaultParagraphFont"/>
    <w:link w:val="CommentText"/>
    <w:uiPriority w:val="99"/>
    <w:rsid w:val="00751312"/>
    <w:rPr>
      <w:sz w:val="20"/>
      <w:szCs w:val="20"/>
    </w:rPr>
  </w:style>
  <w:style w:type="character" w:styleId="FollowedHyperlink">
    <w:name w:val="FollowedHyperlink"/>
    <w:basedOn w:val="DefaultParagraphFont"/>
    <w:uiPriority w:val="99"/>
    <w:semiHidden/>
    <w:unhideWhenUsed/>
    <w:rsid w:val="00563B6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agilent.com/cs/library/technicaloverviews/public/5990-7651EN.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184</TotalTime>
  <Pages>3</Pages>
  <Words>1072</Words>
  <Characters>5517</Characters>
  <Application>Microsoft Office Word</Application>
  <DocSecurity>0</DocSecurity>
  <Lines>113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Nadel, Samantha</dc:creator>
  <cp:keywords/>
  <dc:description/>
  <cp:lastModifiedBy>Nadel, Samantha</cp:lastModifiedBy>
  <cp:revision>12</cp:revision>
  <dcterms:created xsi:type="dcterms:W3CDTF">2025-10-10T18:31:00Z</dcterms:created>
  <dcterms:modified xsi:type="dcterms:W3CDTF">2025-10-13T18:15:00Z</dcterms:modified>
</cp:coreProperties>
</file>